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66"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94"/>
        <w:gridCol w:w="2569"/>
        <w:gridCol w:w="5103"/>
      </w:tblGrid>
      <w:tr w:rsidR="00120DA9" w:rsidRPr="00C953E4" w14:paraId="66ACF87E" w14:textId="77777777" w:rsidTr="00A14278">
        <w:trPr>
          <w:trHeight w:val="1503"/>
        </w:trPr>
        <w:tc>
          <w:tcPr>
            <w:tcW w:w="4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847B3E" w14:textId="77777777" w:rsidR="00120DA9" w:rsidRPr="00C953E4" w:rsidRDefault="00120DA9" w:rsidP="00A14278">
            <w:pPr>
              <w:jc w:val="center"/>
              <w:rPr>
                <w:rFonts w:eastAsia="Times New Roman" w:cs="Arial"/>
                <w:b/>
                <w:color w:val="000000"/>
                <w:sz w:val="24"/>
                <w:szCs w:val="24"/>
              </w:rPr>
            </w:pPr>
            <w:bookmarkStart w:id="0" w:name="OLE_LINK10"/>
            <w:bookmarkStart w:id="1" w:name="OLE_LINK12"/>
            <w:r w:rsidRPr="00C953E4">
              <w:rPr>
                <w:rFonts w:eastAsia="Times New Roman" w:cs="Arial"/>
                <w:b/>
                <w:color w:val="000000"/>
                <w:sz w:val="24"/>
                <w:szCs w:val="24"/>
              </w:rPr>
              <w:t>HỘI ĐỒNG THẨM PHÁN TÒA ÁN NHÂN DÂN TỐI CAO</w:t>
            </w:r>
          </w:p>
          <w:p w14:paraId="2178C25B" w14:textId="77777777" w:rsidR="00120DA9" w:rsidRPr="00C953E4" w:rsidRDefault="00120DA9" w:rsidP="00A14278">
            <w:pPr>
              <w:jc w:val="center"/>
              <w:rPr>
                <w:rFonts w:eastAsia="Times New Roman" w:cs="Arial"/>
                <w:b/>
                <w:color w:val="000000"/>
                <w:sz w:val="24"/>
                <w:szCs w:val="24"/>
              </w:rPr>
            </w:pPr>
            <w:r w:rsidRPr="00C953E4">
              <w:rPr>
                <w:rFonts w:eastAsia="Times New Roman" w:cs="Arial"/>
                <w:b/>
                <w:color w:val="000000"/>
                <w:sz w:val="24"/>
                <w:szCs w:val="24"/>
              </w:rPr>
              <w:t>-------------</w:t>
            </w:r>
          </w:p>
          <w:p w14:paraId="30C4E5D1" w14:textId="17716681" w:rsidR="00120DA9" w:rsidRPr="00C953E4" w:rsidRDefault="00120DA9" w:rsidP="00A14278">
            <w:pPr>
              <w:jc w:val="center"/>
              <w:rPr>
                <w:rFonts w:eastAsia="Times New Roman" w:cs="Arial"/>
                <w:color w:val="000000"/>
                <w:sz w:val="24"/>
                <w:szCs w:val="24"/>
              </w:rPr>
            </w:pPr>
            <w:r w:rsidRPr="00C953E4">
              <w:rPr>
                <w:rFonts w:eastAsia="Times New Roman" w:cs="Arial"/>
                <w:color w:val="000000"/>
                <w:sz w:val="24"/>
                <w:szCs w:val="24"/>
              </w:rPr>
              <w:t xml:space="preserve">Số: </w:t>
            </w:r>
            <w:r w:rsidR="00C7259C" w:rsidRPr="00C7259C">
              <w:rPr>
                <w:rFonts w:eastAsia="Times New Roman" w:cs="Arial"/>
                <w:color w:val="000000"/>
                <w:sz w:val="24"/>
                <w:szCs w:val="24"/>
              </w:rPr>
              <w:t>0</w:t>
            </w:r>
            <w:r w:rsidR="003F530F">
              <w:rPr>
                <w:rFonts w:eastAsia="Times New Roman" w:cs="Arial"/>
                <w:color w:val="000000"/>
                <w:sz w:val="24"/>
                <w:szCs w:val="24"/>
              </w:rPr>
              <w:t>4</w:t>
            </w:r>
            <w:r w:rsidR="00C7259C" w:rsidRPr="00C7259C">
              <w:rPr>
                <w:rFonts w:eastAsia="Times New Roman" w:cs="Arial"/>
                <w:color w:val="000000"/>
                <w:sz w:val="24"/>
                <w:szCs w:val="24"/>
              </w:rPr>
              <w:t>/201</w:t>
            </w:r>
            <w:r w:rsidR="003F530F">
              <w:rPr>
                <w:rFonts w:eastAsia="Times New Roman" w:cs="Arial"/>
                <w:color w:val="000000"/>
                <w:sz w:val="24"/>
                <w:szCs w:val="24"/>
              </w:rPr>
              <w:t>8</w:t>
            </w:r>
            <w:r w:rsidR="00C7259C" w:rsidRPr="00C7259C">
              <w:rPr>
                <w:rFonts w:eastAsia="Times New Roman" w:cs="Arial"/>
                <w:color w:val="000000"/>
                <w:sz w:val="24"/>
                <w:szCs w:val="24"/>
              </w:rPr>
              <w:t>/NQ-H</w:t>
            </w:r>
            <w:r w:rsidR="00C7259C">
              <w:rPr>
                <w:rFonts w:eastAsia="Times New Roman" w:cs="Arial"/>
                <w:color w:val="000000"/>
                <w:sz w:val="24"/>
                <w:szCs w:val="24"/>
              </w:rPr>
              <w:t>Đ</w:t>
            </w:r>
            <w:r w:rsidR="00C7259C" w:rsidRPr="00C7259C">
              <w:rPr>
                <w:rFonts w:eastAsia="Times New Roman" w:cs="Arial"/>
                <w:color w:val="000000"/>
                <w:sz w:val="24"/>
                <w:szCs w:val="24"/>
              </w:rPr>
              <w:t>TP</w:t>
            </w:r>
          </w:p>
        </w:tc>
        <w:tc>
          <w:tcPr>
            <w:tcW w:w="25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144B7" w14:textId="77777777" w:rsidR="00120DA9" w:rsidRPr="00C953E4" w:rsidRDefault="00120DA9" w:rsidP="00A14278">
            <w:pPr>
              <w:rPr>
                <w:rFonts w:eastAsia="Times New Roman" w:cs="Arial"/>
                <w:color w:val="000000"/>
                <w:sz w:val="24"/>
                <w:szCs w:val="24"/>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A5E664" w14:textId="77777777" w:rsidR="00120DA9" w:rsidRPr="00C953E4" w:rsidRDefault="00120DA9" w:rsidP="00A14278">
            <w:pPr>
              <w:jc w:val="center"/>
              <w:rPr>
                <w:rFonts w:eastAsia="Times New Roman" w:cs="Arial"/>
                <w:b/>
                <w:color w:val="000000"/>
                <w:sz w:val="24"/>
                <w:szCs w:val="24"/>
              </w:rPr>
            </w:pPr>
            <w:r w:rsidRPr="00C953E4">
              <w:rPr>
                <w:rFonts w:eastAsia="Times New Roman" w:cs="Arial"/>
                <w:b/>
                <w:color w:val="000000"/>
                <w:sz w:val="24"/>
                <w:szCs w:val="24"/>
              </w:rPr>
              <w:t>CỘNG HÒA XÃ HỘI CHỦ NGHĨA VIỆT NAM</w:t>
            </w:r>
          </w:p>
          <w:p w14:paraId="02844FDE" w14:textId="77777777" w:rsidR="00120DA9" w:rsidRPr="00C953E4" w:rsidRDefault="00120DA9" w:rsidP="00A14278">
            <w:pPr>
              <w:jc w:val="center"/>
              <w:rPr>
                <w:rFonts w:eastAsia="Times New Roman" w:cs="Arial"/>
                <w:b/>
                <w:color w:val="000000"/>
                <w:sz w:val="24"/>
                <w:szCs w:val="24"/>
              </w:rPr>
            </w:pPr>
            <w:r w:rsidRPr="00C953E4">
              <w:rPr>
                <w:rFonts w:eastAsia="Times New Roman" w:cs="Arial"/>
                <w:b/>
                <w:color w:val="000000"/>
                <w:sz w:val="24"/>
                <w:szCs w:val="24"/>
              </w:rPr>
              <w:t>Độc lập – tự do – Hạnh phúc</w:t>
            </w:r>
          </w:p>
          <w:p w14:paraId="28F89A58" w14:textId="77777777" w:rsidR="00120DA9" w:rsidRPr="00C953E4" w:rsidRDefault="00120DA9" w:rsidP="00A14278">
            <w:pPr>
              <w:jc w:val="center"/>
              <w:rPr>
                <w:rFonts w:eastAsia="Times New Roman" w:cs="Arial"/>
                <w:b/>
                <w:color w:val="000000"/>
                <w:sz w:val="24"/>
                <w:szCs w:val="24"/>
              </w:rPr>
            </w:pPr>
            <w:r w:rsidRPr="00C953E4">
              <w:rPr>
                <w:rFonts w:eastAsia="Times New Roman" w:cs="Arial"/>
                <w:b/>
                <w:color w:val="000000"/>
                <w:sz w:val="24"/>
                <w:szCs w:val="24"/>
              </w:rPr>
              <w:t>-----------------</w:t>
            </w:r>
          </w:p>
          <w:p w14:paraId="6445D944" w14:textId="0871765E" w:rsidR="00120DA9" w:rsidRPr="00C953E4" w:rsidRDefault="00120DA9" w:rsidP="00A14278">
            <w:pPr>
              <w:jc w:val="center"/>
              <w:rPr>
                <w:rFonts w:eastAsia="Times New Roman" w:cs="Arial"/>
                <w:i/>
                <w:color w:val="000000"/>
                <w:sz w:val="24"/>
                <w:szCs w:val="24"/>
              </w:rPr>
            </w:pPr>
            <w:r w:rsidRPr="00C953E4">
              <w:rPr>
                <w:rFonts w:eastAsia="Times New Roman" w:cs="Arial"/>
                <w:i/>
                <w:color w:val="000000"/>
                <w:sz w:val="24"/>
                <w:szCs w:val="24"/>
              </w:rPr>
              <w:t xml:space="preserve">Hà nội, ngày </w:t>
            </w:r>
            <w:r w:rsidR="003F530F">
              <w:rPr>
                <w:rFonts w:eastAsia="Times New Roman" w:cs="Arial"/>
                <w:i/>
                <w:color w:val="000000"/>
                <w:sz w:val="24"/>
                <w:szCs w:val="24"/>
              </w:rPr>
              <w:t>09</w:t>
            </w:r>
            <w:r w:rsidRPr="00C953E4">
              <w:rPr>
                <w:rFonts w:eastAsia="Times New Roman" w:cs="Arial"/>
                <w:i/>
                <w:color w:val="000000"/>
                <w:sz w:val="24"/>
                <w:szCs w:val="24"/>
              </w:rPr>
              <w:t xml:space="preserve"> tháng </w:t>
            </w:r>
            <w:r w:rsidR="002E11BD">
              <w:rPr>
                <w:rFonts w:eastAsia="Times New Roman" w:cs="Arial"/>
                <w:i/>
                <w:color w:val="000000"/>
                <w:sz w:val="24"/>
                <w:szCs w:val="24"/>
              </w:rPr>
              <w:t>0</w:t>
            </w:r>
            <w:r w:rsidR="003F530F">
              <w:rPr>
                <w:rFonts w:eastAsia="Times New Roman" w:cs="Arial"/>
                <w:i/>
                <w:color w:val="000000"/>
                <w:sz w:val="24"/>
                <w:szCs w:val="24"/>
              </w:rPr>
              <w:t>8</w:t>
            </w:r>
            <w:r w:rsidRPr="00C953E4">
              <w:rPr>
                <w:rFonts w:eastAsia="Times New Roman" w:cs="Arial"/>
                <w:i/>
                <w:color w:val="000000"/>
                <w:sz w:val="24"/>
                <w:szCs w:val="24"/>
              </w:rPr>
              <w:t xml:space="preserve"> năm 201</w:t>
            </w:r>
            <w:r w:rsidR="003F530F">
              <w:rPr>
                <w:rFonts w:eastAsia="Times New Roman" w:cs="Arial"/>
                <w:i/>
                <w:color w:val="000000"/>
                <w:sz w:val="24"/>
                <w:szCs w:val="24"/>
              </w:rPr>
              <w:t>8</w:t>
            </w:r>
          </w:p>
        </w:tc>
        <w:bookmarkEnd w:id="0"/>
        <w:bookmarkEnd w:id="1"/>
      </w:tr>
    </w:tbl>
    <w:p w14:paraId="6B62DD52" w14:textId="77777777" w:rsidR="003F530F" w:rsidRPr="003F530F" w:rsidRDefault="003F530F" w:rsidP="003F530F">
      <w:pPr>
        <w:jc w:val="center"/>
        <w:rPr>
          <w:b/>
          <w:sz w:val="24"/>
          <w:szCs w:val="24"/>
        </w:rPr>
      </w:pPr>
      <w:r w:rsidRPr="003F530F">
        <w:rPr>
          <w:b/>
          <w:sz w:val="24"/>
          <w:szCs w:val="24"/>
        </w:rPr>
        <w:t>NGHỊ QUYẾT</w:t>
      </w:r>
    </w:p>
    <w:p w14:paraId="6409B724" w14:textId="79AD6937" w:rsidR="003F530F" w:rsidRPr="003F530F" w:rsidRDefault="003F530F" w:rsidP="003F530F">
      <w:pPr>
        <w:jc w:val="center"/>
        <w:rPr>
          <w:sz w:val="24"/>
          <w:szCs w:val="24"/>
        </w:rPr>
      </w:pPr>
      <w:r w:rsidRPr="003F530F">
        <w:rPr>
          <w:sz w:val="24"/>
          <w:szCs w:val="24"/>
        </w:rPr>
        <w:t>Ban hành một số biểu mẫu trong giải quyết việc dân sự</w:t>
      </w:r>
    </w:p>
    <w:p w14:paraId="63C3C993" w14:textId="77777777" w:rsidR="003F530F" w:rsidRPr="003F530F" w:rsidRDefault="003F530F" w:rsidP="003F530F">
      <w:pPr>
        <w:jc w:val="center"/>
        <w:rPr>
          <w:b/>
          <w:sz w:val="24"/>
          <w:szCs w:val="24"/>
        </w:rPr>
      </w:pPr>
      <w:r w:rsidRPr="003F530F">
        <w:rPr>
          <w:b/>
          <w:sz w:val="24"/>
          <w:szCs w:val="24"/>
        </w:rPr>
        <w:t>HỘI ĐỒNG THẨM PHÁN TÒA ÁN NHÂN DÂN TỐI CAO</w:t>
      </w:r>
    </w:p>
    <w:p w14:paraId="69190303" w14:textId="77777777" w:rsidR="003F530F" w:rsidRPr="003F530F" w:rsidRDefault="003F530F" w:rsidP="003F530F">
      <w:pPr>
        <w:rPr>
          <w:sz w:val="24"/>
          <w:szCs w:val="24"/>
        </w:rPr>
      </w:pPr>
      <w:r w:rsidRPr="003F530F">
        <w:rPr>
          <w:sz w:val="24"/>
          <w:szCs w:val="24"/>
        </w:rPr>
        <w:t>Căn cứ Luật Tổ chức Tòa án nhân dân ngày 24 tháng 11 năm 2014;</w:t>
      </w:r>
    </w:p>
    <w:p w14:paraId="7F957888" w14:textId="77777777" w:rsidR="003F530F" w:rsidRPr="003F530F" w:rsidRDefault="003F530F" w:rsidP="003F530F">
      <w:pPr>
        <w:rPr>
          <w:sz w:val="24"/>
          <w:szCs w:val="24"/>
        </w:rPr>
      </w:pPr>
      <w:r w:rsidRPr="003F530F">
        <w:rPr>
          <w:sz w:val="24"/>
          <w:szCs w:val="24"/>
        </w:rPr>
        <w:t>Để áp dụng đúng và thống nhất biểu mẫu trong giải quyết việc dân sự;</w:t>
      </w:r>
    </w:p>
    <w:p w14:paraId="243DEF92" w14:textId="77777777" w:rsidR="003F530F" w:rsidRPr="003F530F" w:rsidRDefault="003F530F" w:rsidP="003F530F">
      <w:pPr>
        <w:rPr>
          <w:sz w:val="24"/>
          <w:szCs w:val="24"/>
        </w:rPr>
      </w:pPr>
      <w:r w:rsidRPr="003F530F">
        <w:rPr>
          <w:sz w:val="24"/>
          <w:szCs w:val="24"/>
        </w:rPr>
        <w:t>Sau khi có ý kiến của Viện trưởng Viện kiểm sát nhân dân tối cao và Bộ trưởng Bộ Tư pháp,</w:t>
      </w:r>
    </w:p>
    <w:p w14:paraId="771C78BF" w14:textId="77777777" w:rsidR="003F530F" w:rsidRPr="003F530F" w:rsidRDefault="003F530F" w:rsidP="003F530F">
      <w:pPr>
        <w:jc w:val="center"/>
        <w:rPr>
          <w:b/>
          <w:sz w:val="24"/>
          <w:szCs w:val="24"/>
        </w:rPr>
      </w:pPr>
      <w:r w:rsidRPr="003F530F">
        <w:rPr>
          <w:b/>
          <w:sz w:val="24"/>
          <w:szCs w:val="24"/>
        </w:rPr>
        <w:t>QUYẾT NGHỊ:</w:t>
      </w:r>
    </w:p>
    <w:p w14:paraId="1A5126E2" w14:textId="77777777" w:rsidR="003F530F" w:rsidRPr="003F530F" w:rsidRDefault="003F530F" w:rsidP="003F530F">
      <w:pPr>
        <w:rPr>
          <w:b/>
          <w:sz w:val="24"/>
          <w:szCs w:val="24"/>
        </w:rPr>
      </w:pPr>
      <w:r w:rsidRPr="003F530F">
        <w:rPr>
          <w:b/>
          <w:sz w:val="24"/>
          <w:szCs w:val="24"/>
        </w:rPr>
        <w:t xml:space="preserve">Điều 1. Ban hành biểu mẫu trong giải quyết việc dân sự </w:t>
      </w:r>
    </w:p>
    <w:p w14:paraId="364D6A5E" w14:textId="77777777" w:rsidR="003F530F" w:rsidRPr="003F530F" w:rsidRDefault="003F530F" w:rsidP="003F530F">
      <w:pPr>
        <w:rPr>
          <w:sz w:val="24"/>
          <w:szCs w:val="24"/>
        </w:rPr>
      </w:pPr>
      <w:r w:rsidRPr="003F530F">
        <w:rPr>
          <w:sz w:val="24"/>
          <w:szCs w:val="24"/>
        </w:rPr>
        <w:t>Ban hành 33 biểu mẫu theo Danh mục kèm theo Nghị quyết này.</w:t>
      </w:r>
    </w:p>
    <w:p w14:paraId="52F66FD0" w14:textId="77777777" w:rsidR="003F530F" w:rsidRPr="003F530F" w:rsidRDefault="003F530F" w:rsidP="003F530F">
      <w:pPr>
        <w:rPr>
          <w:b/>
          <w:sz w:val="24"/>
          <w:szCs w:val="24"/>
        </w:rPr>
      </w:pPr>
      <w:r w:rsidRPr="003F530F">
        <w:rPr>
          <w:b/>
          <w:sz w:val="24"/>
          <w:szCs w:val="24"/>
        </w:rPr>
        <w:t>Điều 2. Hiệu lực thi hành</w:t>
      </w:r>
    </w:p>
    <w:p w14:paraId="532C6C55" w14:textId="77777777" w:rsidR="003F530F" w:rsidRPr="003F530F" w:rsidRDefault="003F530F" w:rsidP="003F530F">
      <w:pPr>
        <w:rPr>
          <w:sz w:val="24"/>
          <w:szCs w:val="24"/>
        </w:rPr>
      </w:pPr>
      <w:r w:rsidRPr="003F530F">
        <w:rPr>
          <w:sz w:val="24"/>
          <w:szCs w:val="24"/>
        </w:rPr>
        <w:t>1. Nghị quyết này đã được Hội đồng Thẩm phán Tòa án nhân dân tối cao thông qua ngày 09 tháng 8 năm 2018 và có hiệu lực thi hành kể từ ngày 01 tháng 10 năm 2018.</w:t>
      </w:r>
    </w:p>
    <w:p w14:paraId="6A44D6B0" w14:textId="77777777" w:rsidR="003F530F" w:rsidRPr="003F530F" w:rsidRDefault="003F530F" w:rsidP="003F530F">
      <w:pPr>
        <w:rPr>
          <w:sz w:val="24"/>
          <w:szCs w:val="24"/>
        </w:rPr>
      </w:pPr>
      <w:r w:rsidRPr="003F530F">
        <w:rPr>
          <w:sz w:val="24"/>
          <w:szCs w:val="24"/>
        </w:rPr>
        <w:t>2. Bãi bỏ các biểu mẫu số 92, 93 ban hành kèm theo Nghị quyết số 01/2017/NQ-HĐTP ngày 13 tháng 01 năm 2017 của Hội đồng Thẩm phán Tòa án nhân dân tối cao ban hành một số biểu mẫu trong tố tụng dân sự.</w:t>
      </w:r>
    </w:p>
    <w:p w14:paraId="6DED07A9" w14:textId="77777777" w:rsidR="003F530F" w:rsidRPr="003F530F" w:rsidRDefault="003F530F" w:rsidP="003F530F">
      <w:pPr>
        <w:rPr>
          <w:sz w:val="24"/>
          <w:szCs w:val="24"/>
        </w:rPr>
      </w:pPr>
      <w:r w:rsidRPr="003F530F">
        <w:rPr>
          <w:sz w:val="24"/>
          <w:szCs w:val="24"/>
        </w:rPr>
        <w:t>3. Các biểu mẫu ban hành kèm theo Nghị quyết này được sử dụng trong quá trình xem xét thụ lý, giải quyết việc dân sự tại Tòa án nhân dân.</w:t>
      </w:r>
    </w:p>
    <w:p w14:paraId="5353757F" w14:textId="394BC38C" w:rsidR="00C7259C" w:rsidRPr="00C7259C" w:rsidRDefault="003F530F" w:rsidP="003F530F">
      <w:pPr>
        <w:rPr>
          <w:sz w:val="24"/>
          <w:szCs w:val="24"/>
        </w:rPr>
      </w:pPr>
      <w:r w:rsidRPr="003F530F">
        <w:rPr>
          <w:sz w:val="24"/>
          <w:szCs w:val="24"/>
        </w:rPr>
        <w:t>4. Trong quá trình thực hiện nếu có vướng mắc, đề nghị phản ánh cho Tòa án nhân dân tối cao (thông qua Vụ Pháp chế và Quản lý khoa học) để hướng dẫn bổ sung kịp thời.</w:t>
      </w:r>
    </w:p>
    <w:tbl>
      <w:tblPr>
        <w:tblStyle w:val="TableGrid"/>
        <w:tblW w:w="9918"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90"/>
        <w:gridCol w:w="1984"/>
        <w:gridCol w:w="3544"/>
      </w:tblGrid>
      <w:tr w:rsidR="00C7259C" w14:paraId="35CC080A" w14:textId="77777777" w:rsidTr="00E339AA">
        <w:tc>
          <w:tcPr>
            <w:tcW w:w="4390" w:type="dxa"/>
          </w:tcPr>
          <w:p w14:paraId="2CB80707" w14:textId="77777777" w:rsidR="003F530F" w:rsidRPr="003F530F" w:rsidRDefault="003F530F" w:rsidP="00CC0AB8">
            <w:pPr>
              <w:jc w:val="left"/>
              <w:rPr>
                <w:sz w:val="24"/>
                <w:szCs w:val="24"/>
              </w:rPr>
            </w:pPr>
            <w:bookmarkStart w:id="2" w:name="_GoBack"/>
            <w:r w:rsidRPr="003F530F">
              <w:rPr>
                <w:b/>
                <w:sz w:val="24"/>
                <w:szCs w:val="24"/>
              </w:rPr>
              <w:t>Nơi nhận</w:t>
            </w:r>
            <w:r w:rsidRPr="003F530F">
              <w:rPr>
                <w:sz w:val="24"/>
                <w:szCs w:val="24"/>
              </w:rPr>
              <w:t>:</w:t>
            </w:r>
          </w:p>
          <w:p w14:paraId="2AF25CDA" w14:textId="77777777" w:rsidR="003F530F" w:rsidRPr="003F530F" w:rsidRDefault="003F530F" w:rsidP="00CC0AB8">
            <w:pPr>
              <w:jc w:val="left"/>
              <w:rPr>
                <w:sz w:val="24"/>
                <w:szCs w:val="24"/>
              </w:rPr>
            </w:pPr>
            <w:r w:rsidRPr="003F530F">
              <w:rPr>
                <w:sz w:val="24"/>
                <w:szCs w:val="24"/>
              </w:rPr>
              <w:t>- Uỷ ban Thường vụ Quốc hội;</w:t>
            </w:r>
          </w:p>
          <w:p w14:paraId="2EE0F1B6" w14:textId="77777777" w:rsidR="003F530F" w:rsidRPr="003F530F" w:rsidRDefault="003F530F" w:rsidP="00CC0AB8">
            <w:pPr>
              <w:jc w:val="left"/>
              <w:rPr>
                <w:sz w:val="24"/>
                <w:szCs w:val="24"/>
              </w:rPr>
            </w:pPr>
            <w:r w:rsidRPr="003F530F">
              <w:rPr>
                <w:sz w:val="24"/>
                <w:szCs w:val="24"/>
              </w:rPr>
              <w:t>- Uỷ ban Pháp luật của Quốc hội;</w:t>
            </w:r>
          </w:p>
          <w:p w14:paraId="06A596C8" w14:textId="77777777" w:rsidR="003F530F" w:rsidRPr="003F530F" w:rsidRDefault="003F530F" w:rsidP="00CC0AB8">
            <w:pPr>
              <w:jc w:val="left"/>
              <w:rPr>
                <w:sz w:val="24"/>
                <w:szCs w:val="24"/>
              </w:rPr>
            </w:pPr>
            <w:r w:rsidRPr="003F530F">
              <w:rPr>
                <w:sz w:val="24"/>
                <w:szCs w:val="24"/>
              </w:rPr>
              <w:t>- Uỷ ban Tư pháp của Quốc hội;</w:t>
            </w:r>
          </w:p>
          <w:p w14:paraId="19962AF5" w14:textId="77777777" w:rsidR="003F530F" w:rsidRPr="003F530F" w:rsidRDefault="003F530F" w:rsidP="00CC0AB8">
            <w:pPr>
              <w:jc w:val="left"/>
              <w:rPr>
                <w:sz w:val="24"/>
                <w:szCs w:val="24"/>
              </w:rPr>
            </w:pPr>
            <w:r w:rsidRPr="003F530F">
              <w:rPr>
                <w:sz w:val="24"/>
                <w:szCs w:val="24"/>
              </w:rPr>
              <w:t>- Ban Chỉ đạo CCTPTƯ;</w:t>
            </w:r>
          </w:p>
          <w:p w14:paraId="30FACA9A" w14:textId="77777777" w:rsidR="003F530F" w:rsidRPr="003F530F" w:rsidRDefault="003F530F" w:rsidP="00CC0AB8">
            <w:pPr>
              <w:jc w:val="left"/>
              <w:rPr>
                <w:sz w:val="24"/>
                <w:szCs w:val="24"/>
              </w:rPr>
            </w:pPr>
            <w:r w:rsidRPr="003F530F">
              <w:rPr>
                <w:sz w:val="24"/>
                <w:szCs w:val="24"/>
              </w:rPr>
              <w:t>- Ban Nội chính Trung ương;</w:t>
            </w:r>
          </w:p>
          <w:p w14:paraId="203B485E" w14:textId="77777777" w:rsidR="003F530F" w:rsidRPr="003F530F" w:rsidRDefault="003F530F" w:rsidP="00CC0AB8">
            <w:pPr>
              <w:jc w:val="left"/>
              <w:rPr>
                <w:sz w:val="24"/>
                <w:szCs w:val="24"/>
              </w:rPr>
            </w:pPr>
            <w:r w:rsidRPr="003F530F">
              <w:rPr>
                <w:sz w:val="24"/>
                <w:szCs w:val="24"/>
              </w:rPr>
              <w:t>- Văn phòng Chủ tịch nước;</w:t>
            </w:r>
          </w:p>
          <w:p w14:paraId="1D54107F" w14:textId="77777777" w:rsidR="003F530F" w:rsidRPr="003F530F" w:rsidRDefault="003F530F" w:rsidP="00CC0AB8">
            <w:pPr>
              <w:jc w:val="left"/>
              <w:rPr>
                <w:sz w:val="24"/>
                <w:szCs w:val="24"/>
              </w:rPr>
            </w:pPr>
            <w:r w:rsidRPr="003F530F">
              <w:rPr>
                <w:sz w:val="24"/>
                <w:szCs w:val="24"/>
              </w:rPr>
              <w:t>- Văn phòng Chính phủ (02 bản);</w:t>
            </w:r>
          </w:p>
          <w:p w14:paraId="3D09A384" w14:textId="77777777" w:rsidR="003F530F" w:rsidRPr="003F530F" w:rsidRDefault="003F530F" w:rsidP="00CC0AB8">
            <w:pPr>
              <w:jc w:val="left"/>
              <w:rPr>
                <w:sz w:val="24"/>
                <w:szCs w:val="24"/>
              </w:rPr>
            </w:pPr>
            <w:r w:rsidRPr="003F530F">
              <w:rPr>
                <w:sz w:val="24"/>
                <w:szCs w:val="24"/>
              </w:rPr>
              <w:t>- Viện kiểm sát nhân dân tối cao;</w:t>
            </w:r>
          </w:p>
          <w:p w14:paraId="35D2CE74" w14:textId="77777777" w:rsidR="003F530F" w:rsidRPr="003F530F" w:rsidRDefault="003F530F" w:rsidP="00CC0AB8">
            <w:pPr>
              <w:jc w:val="left"/>
              <w:rPr>
                <w:sz w:val="24"/>
                <w:szCs w:val="24"/>
              </w:rPr>
            </w:pPr>
            <w:r w:rsidRPr="003F530F">
              <w:rPr>
                <w:sz w:val="24"/>
                <w:szCs w:val="24"/>
              </w:rPr>
              <w:t>- Bộ Tư pháp;</w:t>
            </w:r>
          </w:p>
          <w:p w14:paraId="73470743" w14:textId="77777777" w:rsidR="003F530F" w:rsidRPr="003F530F" w:rsidRDefault="003F530F" w:rsidP="00CC0AB8">
            <w:pPr>
              <w:jc w:val="left"/>
              <w:rPr>
                <w:sz w:val="24"/>
                <w:szCs w:val="24"/>
              </w:rPr>
            </w:pPr>
            <w:r w:rsidRPr="003F530F">
              <w:rPr>
                <w:sz w:val="24"/>
                <w:szCs w:val="24"/>
              </w:rPr>
              <w:t>- Các TAND và TAQS;</w:t>
            </w:r>
          </w:p>
          <w:p w14:paraId="06EE8E5A" w14:textId="77777777" w:rsidR="003F530F" w:rsidRPr="003F530F" w:rsidRDefault="003F530F" w:rsidP="00CC0AB8">
            <w:pPr>
              <w:jc w:val="left"/>
              <w:rPr>
                <w:sz w:val="24"/>
                <w:szCs w:val="24"/>
              </w:rPr>
            </w:pPr>
            <w:r w:rsidRPr="003F530F">
              <w:rPr>
                <w:sz w:val="24"/>
                <w:szCs w:val="24"/>
              </w:rPr>
              <w:t>- Các Thẩm phán TANDTC;</w:t>
            </w:r>
          </w:p>
          <w:p w14:paraId="08D7D3A9" w14:textId="77777777" w:rsidR="003F530F" w:rsidRPr="003F530F" w:rsidRDefault="003F530F" w:rsidP="00CC0AB8">
            <w:pPr>
              <w:jc w:val="left"/>
              <w:rPr>
                <w:sz w:val="24"/>
                <w:szCs w:val="24"/>
              </w:rPr>
            </w:pPr>
            <w:r w:rsidRPr="003F530F">
              <w:rPr>
                <w:sz w:val="24"/>
                <w:szCs w:val="24"/>
              </w:rPr>
              <w:t>- Các đơn vị thuộc TANDTC;</w:t>
            </w:r>
          </w:p>
          <w:p w14:paraId="5ADFC060" w14:textId="77777777" w:rsidR="003F530F" w:rsidRPr="003F530F" w:rsidRDefault="003F530F" w:rsidP="00CC0AB8">
            <w:pPr>
              <w:jc w:val="left"/>
              <w:rPr>
                <w:sz w:val="24"/>
                <w:szCs w:val="24"/>
              </w:rPr>
            </w:pPr>
            <w:r w:rsidRPr="003F530F">
              <w:rPr>
                <w:sz w:val="24"/>
                <w:szCs w:val="24"/>
              </w:rPr>
              <w:t>- Cổng TTĐT TANDTC (để đăng tải);</w:t>
            </w:r>
          </w:p>
          <w:p w14:paraId="74D4B712" w14:textId="54E415BD" w:rsidR="00C7259C" w:rsidRDefault="003F530F" w:rsidP="00CC0AB8">
            <w:pPr>
              <w:jc w:val="left"/>
              <w:rPr>
                <w:sz w:val="24"/>
                <w:szCs w:val="24"/>
              </w:rPr>
            </w:pPr>
            <w:r w:rsidRPr="003F530F">
              <w:rPr>
                <w:sz w:val="24"/>
                <w:szCs w:val="24"/>
              </w:rPr>
              <w:t>- Lưu: VT, Vụ PC&amp;QLKH (TANDTC).</w:t>
            </w:r>
          </w:p>
        </w:tc>
        <w:tc>
          <w:tcPr>
            <w:tcW w:w="1984" w:type="dxa"/>
          </w:tcPr>
          <w:p w14:paraId="1F801B29" w14:textId="77777777" w:rsidR="00C7259C" w:rsidRDefault="00C7259C" w:rsidP="00C7259C">
            <w:pPr>
              <w:rPr>
                <w:sz w:val="24"/>
                <w:szCs w:val="24"/>
              </w:rPr>
            </w:pPr>
          </w:p>
        </w:tc>
        <w:tc>
          <w:tcPr>
            <w:tcW w:w="3544" w:type="dxa"/>
          </w:tcPr>
          <w:p w14:paraId="489B2F3E" w14:textId="77777777" w:rsidR="00C7259C" w:rsidRDefault="00C7259C" w:rsidP="00C7259C">
            <w:pPr>
              <w:jc w:val="center"/>
              <w:rPr>
                <w:b/>
                <w:sz w:val="24"/>
                <w:szCs w:val="24"/>
              </w:rPr>
            </w:pPr>
            <w:r w:rsidRPr="00C7259C">
              <w:rPr>
                <w:b/>
                <w:sz w:val="24"/>
                <w:szCs w:val="24"/>
              </w:rPr>
              <w:t>TM. HỘI ĐỒNG THẨM PHÁN CHÁNH ÁN</w:t>
            </w:r>
          </w:p>
          <w:p w14:paraId="5EBB4B75" w14:textId="77777777" w:rsidR="00C7259C" w:rsidRDefault="00C7259C" w:rsidP="00C7259C">
            <w:pPr>
              <w:jc w:val="center"/>
              <w:rPr>
                <w:b/>
                <w:sz w:val="24"/>
                <w:szCs w:val="24"/>
              </w:rPr>
            </w:pPr>
          </w:p>
          <w:p w14:paraId="16B1A0E6" w14:textId="77777777" w:rsidR="00C7259C" w:rsidRDefault="00C7259C" w:rsidP="00C7259C">
            <w:pPr>
              <w:jc w:val="center"/>
              <w:rPr>
                <w:b/>
                <w:sz w:val="24"/>
                <w:szCs w:val="24"/>
              </w:rPr>
            </w:pPr>
          </w:p>
          <w:p w14:paraId="51C730F4" w14:textId="77777777" w:rsidR="00C7259C" w:rsidRDefault="00C7259C" w:rsidP="00C7259C">
            <w:pPr>
              <w:jc w:val="center"/>
              <w:rPr>
                <w:b/>
                <w:sz w:val="24"/>
                <w:szCs w:val="24"/>
              </w:rPr>
            </w:pPr>
          </w:p>
          <w:p w14:paraId="68A00FF4" w14:textId="77777777" w:rsidR="00C7259C" w:rsidRDefault="00C7259C" w:rsidP="00C7259C">
            <w:pPr>
              <w:jc w:val="center"/>
              <w:rPr>
                <w:b/>
                <w:sz w:val="24"/>
                <w:szCs w:val="24"/>
              </w:rPr>
            </w:pPr>
          </w:p>
          <w:p w14:paraId="109EC3D9" w14:textId="278163C4" w:rsidR="00C7259C" w:rsidRPr="00C7259C" w:rsidRDefault="00C7259C" w:rsidP="00C7259C">
            <w:pPr>
              <w:jc w:val="center"/>
              <w:rPr>
                <w:b/>
                <w:sz w:val="24"/>
                <w:szCs w:val="24"/>
              </w:rPr>
            </w:pPr>
            <w:r>
              <w:rPr>
                <w:b/>
                <w:sz w:val="24"/>
                <w:szCs w:val="24"/>
              </w:rPr>
              <w:t>Nguyễn Hòa Bình</w:t>
            </w:r>
          </w:p>
        </w:tc>
      </w:tr>
      <w:bookmarkEnd w:id="2"/>
    </w:tbl>
    <w:p w14:paraId="43CF5FFB" w14:textId="77777777" w:rsidR="00C7259C" w:rsidRPr="00C7259C" w:rsidRDefault="00C7259C" w:rsidP="00C7259C">
      <w:pPr>
        <w:rPr>
          <w:sz w:val="24"/>
          <w:szCs w:val="24"/>
        </w:rPr>
      </w:pPr>
    </w:p>
    <w:p w14:paraId="14C5DE1B" w14:textId="77777777" w:rsidR="00C953E4" w:rsidRPr="00C953E4" w:rsidRDefault="00C953E4">
      <w:pPr>
        <w:rPr>
          <w:sz w:val="24"/>
          <w:szCs w:val="24"/>
        </w:rPr>
      </w:pPr>
    </w:p>
    <w:sectPr w:rsidR="00C953E4" w:rsidRPr="00C953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ED"/>
    <w:rsid w:val="000C1380"/>
    <w:rsid w:val="00120DA9"/>
    <w:rsid w:val="002040AF"/>
    <w:rsid w:val="00295052"/>
    <w:rsid w:val="002E11BD"/>
    <w:rsid w:val="003F530F"/>
    <w:rsid w:val="004A4D50"/>
    <w:rsid w:val="00631E0F"/>
    <w:rsid w:val="007C5B71"/>
    <w:rsid w:val="00857447"/>
    <w:rsid w:val="00995BA3"/>
    <w:rsid w:val="00A14278"/>
    <w:rsid w:val="00AF7757"/>
    <w:rsid w:val="00B45EED"/>
    <w:rsid w:val="00B6440A"/>
    <w:rsid w:val="00B72CFC"/>
    <w:rsid w:val="00C7259C"/>
    <w:rsid w:val="00C953E4"/>
    <w:rsid w:val="00CC0AB8"/>
    <w:rsid w:val="00D7369F"/>
    <w:rsid w:val="00D86618"/>
    <w:rsid w:val="00E339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5250"/>
  <w15:chartTrackingRefBased/>
  <w15:docId w15:val="{0A268485-22B8-4AA1-BCF0-FC35B5B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vi-VN" w:eastAsia="en-US" w:bidi="ar-SA"/>
      </w:rPr>
    </w:rPrDefault>
    <w:pPrDefault>
      <w:pPr>
        <w:spacing w:before="20" w:after="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5EED"/>
    <w:pPr>
      <w:spacing w:before="100" w:beforeAutospacing="1" w:after="100" w:afterAutospacing="1"/>
      <w:jc w:val="left"/>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5EED"/>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B45EED"/>
    <w:pPr>
      <w:spacing w:before="100" w:beforeAutospacing="1" w:after="100" w:afterAutospacing="1"/>
      <w:jc w:val="left"/>
    </w:pPr>
    <w:rPr>
      <w:rFonts w:ascii="Times New Roman" w:eastAsia="Times New Roman" w:hAnsi="Times New Roman" w:cs="Times New Roman"/>
      <w:sz w:val="24"/>
      <w:szCs w:val="24"/>
      <w:lang w:eastAsia="vi-VN"/>
    </w:rPr>
  </w:style>
  <w:style w:type="paragraph" w:customStyle="1" w:styleId="ndieund">
    <w:name w:val="ndieund"/>
    <w:basedOn w:val="Normal"/>
    <w:rsid w:val="00B45EED"/>
    <w:pPr>
      <w:spacing w:before="100" w:beforeAutospacing="1" w:after="100" w:afterAutospacing="1"/>
      <w:jc w:val="left"/>
    </w:pPr>
    <w:rPr>
      <w:rFonts w:ascii="Times New Roman" w:eastAsia="Times New Roman" w:hAnsi="Times New Roman" w:cs="Times New Roman"/>
      <w:sz w:val="24"/>
      <w:szCs w:val="24"/>
      <w:lang w:eastAsia="vi-VN"/>
    </w:rPr>
  </w:style>
  <w:style w:type="table" w:styleId="TableGrid">
    <w:name w:val="Table Grid"/>
    <w:basedOn w:val="TableNormal"/>
    <w:uiPriority w:val="59"/>
    <w:rsid w:val="00295052"/>
    <w:pPr>
      <w:spacing w:before="0" w:after="0"/>
    </w:pPr>
    <w:rPr>
      <w:rFonts w:cstheme="minorBidi"/>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739">
      <w:bodyDiv w:val="1"/>
      <w:marLeft w:val="0"/>
      <w:marRight w:val="0"/>
      <w:marTop w:val="0"/>
      <w:marBottom w:val="0"/>
      <w:divBdr>
        <w:top w:val="none" w:sz="0" w:space="0" w:color="auto"/>
        <w:left w:val="none" w:sz="0" w:space="0" w:color="auto"/>
        <w:bottom w:val="none" w:sz="0" w:space="0" w:color="auto"/>
        <w:right w:val="none" w:sz="0" w:space="0" w:color="auto"/>
      </w:divBdr>
    </w:div>
    <w:div w:id="113406257">
      <w:bodyDiv w:val="1"/>
      <w:marLeft w:val="0"/>
      <w:marRight w:val="0"/>
      <w:marTop w:val="0"/>
      <w:marBottom w:val="0"/>
      <w:divBdr>
        <w:top w:val="none" w:sz="0" w:space="0" w:color="auto"/>
        <w:left w:val="none" w:sz="0" w:space="0" w:color="auto"/>
        <w:bottom w:val="none" w:sz="0" w:space="0" w:color="auto"/>
        <w:right w:val="none" w:sz="0" w:space="0" w:color="auto"/>
      </w:divBdr>
    </w:div>
    <w:div w:id="483816114">
      <w:bodyDiv w:val="1"/>
      <w:marLeft w:val="0"/>
      <w:marRight w:val="0"/>
      <w:marTop w:val="0"/>
      <w:marBottom w:val="0"/>
      <w:divBdr>
        <w:top w:val="none" w:sz="0" w:space="0" w:color="auto"/>
        <w:left w:val="none" w:sz="0" w:space="0" w:color="auto"/>
        <w:bottom w:val="none" w:sz="0" w:space="0" w:color="auto"/>
        <w:right w:val="none" w:sz="0" w:space="0" w:color="auto"/>
      </w:divBdr>
    </w:div>
    <w:div w:id="14547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liuriu@outlook.com</dc:creator>
  <cp:keywords/>
  <dc:description/>
  <cp:lastModifiedBy>liuriu@outlook.com</cp:lastModifiedBy>
  <cp:revision>4</cp:revision>
  <dcterms:created xsi:type="dcterms:W3CDTF">2018-10-16T09:49:00Z</dcterms:created>
  <dcterms:modified xsi:type="dcterms:W3CDTF">2018-10-22T09:58:00Z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TAND024274</vt:lpwstr>
  </property>
  <property fmtid="{D5CDD505-2E9C-101B-9397-08002B2CF9AE}" pid="10" name="DISProperties">
    <vt:lpwstr>DISdDocName,DIScgiUrl,DISdUser,DISdID,DISidcName,DISTaskPaneUrl</vt:lpwstr>
  </property>
  <property fmtid="{D5CDD505-2E9C-101B-9397-08002B2CF9AE}" pid="11" name="DIScgiUrl">
    <vt:lpwstr>http://portal1.toaan.gov.vn:16200/cs/idcplg</vt:lpwstr>
  </property>
  <property fmtid="{D5CDD505-2E9C-101B-9397-08002B2CF9AE}" pid="12" name="DISdUser">
    <vt:lpwstr>anonymous</vt:lpwstr>
  </property>
  <property fmtid="{D5CDD505-2E9C-101B-9397-08002B2CF9AE}" pid="13" name="DISdID">
    <vt:lpwstr>52138</vt:lpwstr>
  </property>
  <property fmtid="{D5CDD505-2E9C-101B-9397-08002B2CF9AE}" pid="14" name="DISidcName">
    <vt:lpwstr>tatc-ucm</vt:lpwstr>
  </property>
  <property fmtid="{D5CDD505-2E9C-101B-9397-08002B2CF9AE}" pid="15" name="DISTaskPaneUrl">
    <vt:lpwstr>http://portal1.toaan.gov.vn:16200/cs/idcplg?IdcService=DESKTOP_DOC_INFO&amp;dDocName=TAND024274&amp;dID=52138&amp;ClientControlled=DocMan,taskpane&amp;coreContentOnly=1</vt:lpwstr>
  </property>
</Properties>
</file>